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附件一：</w:t>
      </w:r>
    </w:p>
    <w:p>
      <w:pPr>
        <w:snapToGrid w:val="0"/>
        <w:spacing w:line="300" w:lineRule="auto"/>
        <w:jc w:val="center"/>
        <w:rPr>
          <w:rFonts w:hint="eastAsia" w:ascii="黑体" w:hAnsi="黑体" w:eastAsia="黑体" w:cs="黑体"/>
          <w:b/>
          <w:i w:val="0"/>
          <w:caps w:val="0"/>
          <w:color w:val="000000"/>
          <w:spacing w:val="0"/>
          <w:sz w:val="36"/>
          <w:szCs w:val="36"/>
          <w:lang w:val="en-US" w:eastAsia="zh-CN"/>
        </w:rPr>
      </w:pPr>
      <w:r>
        <w:rPr>
          <w:rFonts w:hint="eastAsia" w:ascii="黑体" w:hAnsi="黑体" w:eastAsia="黑体" w:cs="黑体"/>
          <w:b/>
          <w:i w:val="0"/>
          <w:caps w:val="0"/>
          <w:color w:val="000000"/>
          <w:spacing w:val="0"/>
          <w:sz w:val="36"/>
          <w:szCs w:val="36"/>
          <w:lang w:val="en-US" w:eastAsia="zh-CN"/>
        </w:rPr>
        <w:t>重点实验室简介</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重点实验室</w:t>
      </w:r>
      <w:r>
        <w:rPr>
          <w:rFonts w:hint="eastAsia" w:ascii="仿宋" w:hAnsi="仿宋" w:eastAsia="仿宋" w:cs="仿宋"/>
          <w:color w:val="000000"/>
          <w:sz w:val="32"/>
          <w:szCs w:val="32"/>
        </w:rPr>
        <w:t>依托工业和信息化部网络安全产业发展中心</w:t>
      </w:r>
      <w:r>
        <w:rPr>
          <w:rFonts w:hint="eastAsia" w:ascii="仿宋" w:hAnsi="仿宋" w:eastAsia="仿宋" w:cs="仿宋"/>
          <w:color w:val="000000"/>
          <w:sz w:val="32"/>
          <w:szCs w:val="32"/>
          <w:lang w:eastAsia="zh-CN"/>
        </w:rPr>
        <w:t>（工业和信息化部信息中心）</w:t>
      </w:r>
      <w:r>
        <w:rPr>
          <w:rFonts w:hint="eastAsia" w:ascii="仿宋" w:hAnsi="仿宋" w:eastAsia="仿宋" w:cs="仿宋"/>
          <w:color w:val="000000"/>
          <w:sz w:val="32"/>
          <w:szCs w:val="32"/>
        </w:rPr>
        <w:t>于2019年申请并获批。重点实验室聚焦网络安全新模式、新技术、新业态，围绕新一代信息技术与传统产业深度融合，开展信创环境下云安全、大数据应用与安全、人工智能、工业控制安全、密码应用等网络安全新技术在重点领域、重点行业的基础研究、产品开发、方案集成、成果转化及应用推广。近年来，重点实验室承担了工业互联网创新工程等16项重点项目，研制了</w:t>
      </w:r>
      <w:r>
        <w:rPr>
          <w:rFonts w:hint="eastAsia" w:ascii="仿宋" w:hAnsi="仿宋" w:eastAsia="仿宋" w:cs="仿宋"/>
          <w:color w:val="000000"/>
          <w:sz w:val="32"/>
          <w:szCs w:val="32"/>
          <w:lang w:eastAsia="zh-CN"/>
        </w:rPr>
        <w:t>新技术</w:t>
      </w:r>
      <w:r>
        <w:rPr>
          <w:rFonts w:hint="eastAsia" w:ascii="仿宋" w:hAnsi="仿宋" w:eastAsia="仿宋" w:cs="仿宋"/>
          <w:color w:val="000000"/>
          <w:sz w:val="32"/>
          <w:szCs w:val="32"/>
        </w:rPr>
        <w:t>安全、云密码服务、工业企业安全防护、车联网安全、视频监控安全等整体解决方案，4项入选</w:t>
      </w:r>
      <w:r>
        <w:rPr>
          <w:rFonts w:hint="eastAsia" w:ascii="仿宋" w:hAnsi="仿宋" w:eastAsia="仿宋" w:cs="仿宋"/>
          <w:color w:val="000000"/>
          <w:sz w:val="32"/>
          <w:szCs w:val="32"/>
          <w:lang w:eastAsia="zh-CN"/>
        </w:rPr>
        <w:t>工业和信息化部</w:t>
      </w:r>
      <w:r>
        <w:rPr>
          <w:rFonts w:hint="eastAsia" w:ascii="仿宋" w:hAnsi="仿宋" w:eastAsia="仿宋" w:cs="仿宋"/>
          <w:color w:val="000000"/>
          <w:sz w:val="32"/>
          <w:szCs w:val="32"/>
        </w:rPr>
        <w:t>相关试点示范，开发了13款</w:t>
      </w:r>
      <w:r>
        <w:rPr>
          <w:rFonts w:hint="eastAsia" w:ascii="仿宋" w:hAnsi="仿宋" w:eastAsia="仿宋" w:cs="仿宋"/>
          <w:color w:val="000000"/>
          <w:sz w:val="32"/>
          <w:szCs w:val="32"/>
          <w:lang w:eastAsia="zh-CN"/>
        </w:rPr>
        <w:t>新技术</w:t>
      </w:r>
      <w:r>
        <w:rPr>
          <w:rFonts w:hint="eastAsia" w:ascii="仿宋" w:hAnsi="仿宋" w:eastAsia="仿宋" w:cs="仿宋"/>
          <w:color w:val="000000"/>
          <w:sz w:val="32"/>
          <w:szCs w:val="32"/>
        </w:rPr>
        <w:t>安全产品、多款数据安全、工控安全和</w:t>
      </w:r>
      <w:r>
        <w:rPr>
          <w:rFonts w:hint="eastAsia" w:ascii="仿宋" w:hAnsi="仿宋" w:eastAsia="仿宋" w:cs="仿宋"/>
          <w:color w:val="000000"/>
          <w:sz w:val="32"/>
          <w:szCs w:val="32"/>
          <w:lang w:eastAsia="zh-CN"/>
        </w:rPr>
        <w:t>新技术</w:t>
      </w:r>
      <w:r>
        <w:rPr>
          <w:rFonts w:hint="eastAsia" w:ascii="仿宋" w:hAnsi="仿宋" w:eastAsia="仿宋" w:cs="仿宋"/>
          <w:color w:val="000000"/>
          <w:sz w:val="32"/>
          <w:szCs w:val="32"/>
        </w:rPr>
        <w:t>密码产品，主导和参与了</w:t>
      </w:r>
      <w:r>
        <w:rPr>
          <w:rFonts w:hint="eastAsia" w:ascii="仿宋" w:hAnsi="仿宋" w:eastAsia="仿宋" w:cs="仿宋"/>
          <w:color w:val="000000"/>
          <w:sz w:val="32"/>
          <w:szCs w:val="32"/>
          <w:lang w:eastAsia="zh-CN"/>
        </w:rPr>
        <w:t>新技术</w:t>
      </w:r>
      <w:r>
        <w:rPr>
          <w:rFonts w:hint="eastAsia" w:ascii="仿宋" w:hAnsi="仿宋" w:eastAsia="仿宋" w:cs="仿宋"/>
          <w:color w:val="000000"/>
          <w:sz w:val="32"/>
          <w:szCs w:val="32"/>
        </w:rPr>
        <w:t>运维、网安人才岗位能力等4项行业标准，形成了以产业大数据分析和工业互联网平台为基础的产业管理、推进及服务模式。实验室已经成为网络安全技术创新、合作交流、展示推广、成果转化和产业推进的重要平台。</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Times New Roman"/>
          <w:sz w:val="32"/>
        </w:rPr>
        <w:t>重点实验室本年度聚焦信创安全运维、密码应用等重点方向开展关键技术创新攻关和产品研发与整体解决方案实现。</w:t>
      </w:r>
      <w:r>
        <w:rPr>
          <w:rFonts w:hint="eastAsia" w:ascii="仿宋" w:hAnsi="仿宋" w:eastAsia="仿宋" w:cs="仿宋"/>
          <w:color w:val="000000"/>
          <w:sz w:val="32"/>
          <w:szCs w:val="32"/>
          <w:lang w:eastAsia="zh-CN"/>
        </w:rPr>
        <w:t>各组工作内容介绍如下：</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信创安全运维</w:t>
      </w:r>
      <w:r>
        <w:rPr>
          <w:rFonts w:hint="eastAsia" w:ascii="仿宋" w:hAnsi="仿宋" w:eastAsia="仿宋" w:cs="Times New Roman"/>
          <w:b/>
          <w:sz w:val="32"/>
          <w:lang w:eastAsia="zh-CN"/>
        </w:rPr>
        <w:t>工作组</w:t>
      </w:r>
    </w:p>
    <w:p>
      <w:pPr>
        <w:ind w:firstLine="640" w:firstLineChars="200"/>
        <w:rPr>
          <w:rFonts w:hint="eastAsia" w:ascii="仿宋" w:hAnsi="仿宋" w:eastAsia="仿宋" w:cs="Times New Roman"/>
          <w:sz w:val="32"/>
        </w:rPr>
      </w:pPr>
      <w:r>
        <w:rPr>
          <w:rFonts w:hint="eastAsia" w:ascii="仿宋" w:hAnsi="仿宋" w:eastAsia="仿宋" w:cs="Times New Roman"/>
          <w:sz w:val="32"/>
        </w:rPr>
        <w:t>开展信创应用一体化安全运维体系关键技术研究、核心设备研发与整体解决方案实现。研究电子政务网络安全的可视化运维解决方案，实现及时分析并发现问题的能力。研究安全管理信息化解决方案，将安全管理制度与管理数据进行信息化整合，形成人防、技防、物防的统一。</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国产密码应用</w:t>
      </w:r>
      <w:r>
        <w:rPr>
          <w:rFonts w:hint="eastAsia" w:ascii="仿宋" w:hAnsi="仿宋" w:eastAsia="仿宋" w:cs="Times New Roman"/>
          <w:b/>
          <w:sz w:val="32"/>
          <w:lang w:eastAsia="zh-CN"/>
        </w:rPr>
        <w:t>工作组</w:t>
      </w:r>
    </w:p>
    <w:p>
      <w:pPr>
        <w:ind w:firstLine="640" w:firstLineChars="200"/>
        <w:rPr>
          <w:rFonts w:hint="eastAsia" w:ascii="仿宋" w:hAnsi="仿宋" w:eastAsia="仿宋" w:cs="Times New Roman"/>
          <w:sz w:val="32"/>
        </w:rPr>
      </w:pPr>
      <w:r>
        <w:rPr>
          <w:rFonts w:hint="eastAsia" w:ascii="仿宋" w:hAnsi="仿宋" w:eastAsia="仿宋" w:cs="Times New Roman"/>
          <w:sz w:val="32"/>
        </w:rPr>
        <w:t>对标《密码法》、《网络安全法》等国家法律法规，基于国密算法设计实现覆盖新型云、网环境，保障网络安全、信息安全、数据安全的整体解决方案，突破核心技术、研发国产密码云服务平台、二代数据库加密网关、容器云防火墙、区块链加密机等关键新型密码产品。</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信创云安全</w:t>
      </w:r>
      <w:r>
        <w:rPr>
          <w:rFonts w:hint="eastAsia" w:ascii="仿宋" w:hAnsi="仿宋" w:eastAsia="仿宋" w:cs="Times New Roman"/>
          <w:b/>
          <w:sz w:val="32"/>
          <w:lang w:eastAsia="zh-CN"/>
        </w:rPr>
        <w:t>工作组</w:t>
      </w:r>
    </w:p>
    <w:p>
      <w:pPr>
        <w:ind w:firstLine="640" w:firstLineChars="200"/>
        <w:rPr>
          <w:rFonts w:hint="eastAsia" w:ascii="仿宋" w:hAnsi="仿宋" w:eastAsia="仿宋" w:cs="Times New Roman"/>
          <w:sz w:val="32"/>
        </w:rPr>
      </w:pPr>
      <w:r>
        <w:rPr>
          <w:rFonts w:hint="eastAsia" w:ascii="仿宋" w:hAnsi="仿宋" w:eastAsia="仿宋" w:cs="Times New Roman"/>
          <w:sz w:val="32"/>
        </w:rPr>
        <w:t>开展云安全关键技术研究，重点关注信创云安全适配方案研发与实现，研发云安全防护产品。</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信创基础软硬件安全</w:t>
      </w:r>
      <w:r>
        <w:rPr>
          <w:rFonts w:hint="eastAsia" w:ascii="仿宋" w:hAnsi="仿宋" w:eastAsia="仿宋" w:cs="Times New Roman"/>
          <w:b/>
          <w:sz w:val="32"/>
          <w:lang w:eastAsia="zh-CN"/>
        </w:rPr>
        <w:t>工作组</w:t>
      </w:r>
    </w:p>
    <w:p>
      <w:pPr>
        <w:ind w:firstLine="640" w:firstLineChars="200"/>
        <w:rPr>
          <w:rFonts w:hint="eastAsia" w:ascii="仿宋" w:hAnsi="仿宋" w:eastAsia="仿宋" w:cs="Times New Roman"/>
          <w:sz w:val="32"/>
        </w:rPr>
      </w:pPr>
      <w:r>
        <w:rPr>
          <w:rFonts w:hint="eastAsia" w:ascii="仿宋" w:hAnsi="仿宋" w:eastAsia="仿宋" w:cs="Times New Roman"/>
          <w:sz w:val="32"/>
        </w:rPr>
        <w:t>开展操作系统、数据库、中间件等基础软件，底层芯片以及计算、存储、网络等基础设备的安全关键技术研究，重点关注信创基础软硬件的本质安全技术突破，以及新兴安全技术与基础软硬件的融合应用创新。</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工业互联网安全</w:t>
      </w:r>
      <w:r>
        <w:rPr>
          <w:rFonts w:hint="eastAsia" w:ascii="仿宋" w:hAnsi="仿宋" w:eastAsia="仿宋" w:cs="Times New Roman"/>
          <w:b/>
          <w:sz w:val="32"/>
          <w:lang w:eastAsia="zh-CN"/>
        </w:rPr>
        <w:t>工作组</w:t>
      </w:r>
    </w:p>
    <w:p>
      <w:pPr>
        <w:ind w:firstLine="640" w:firstLineChars="200"/>
        <w:rPr>
          <w:rFonts w:hint="eastAsia" w:ascii="仿宋" w:hAnsi="仿宋" w:eastAsia="仿宋" w:cs="Times New Roman"/>
          <w:sz w:val="32"/>
        </w:rPr>
      </w:pPr>
      <w:r>
        <w:rPr>
          <w:rFonts w:hint="eastAsia" w:ascii="仿宋" w:hAnsi="仿宋" w:eastAsia="仿宋" w:cs="Times New Roman"/>
          <w:sz w:val="32"/>
        </w:rPr>
        <w:t>构建工业企业全域安全防护解决方案，重点研究工业互联网安全防护及合规性评估、工业互联网终端攻击检测等技术，研发工业互联网安全合规性评估平台。</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车联网安全</w:t>
      </w:r>
      <w:r>
        <w:rPr>
          <w:rFonts w:hint="eastAsia" w:ascii="仿宋" w:hAnsi="仿宋" w:eastAsia="仿宋" w:cs="Times New Roman"/>
          <w:b/>
          <w:sz w:val="32"/>
          <w:lang w:eastAsia="zh-CN"/>
        </w:rPr>
        <w:t>工作组</w:t>
      </w:r>
    </w:p>
    <w:p>
      <w:pPr>
        <w:ind w:firstLine="640" w:firstLineChars="200"/>
        <w:rPr>
          <w:rFonts w:hint="eastAsia" w:ascii="仿宋" w:hAnsi="仿宋" w:eastAsia="仿宋" w:cs="Times New Roman"/>
          <w:sz w:val="32"/>
        </w:rPr>
      </w:pPr>
      <w:r>
        <w:rPr>
          <w:rFonts w:hint="eastAsia" w:ascii="仿宋" w:hAnsi="仿宋" w:eastAsia="仿宋" w:cs="Times New Roman"/>
          <w:sz w:val="32"/>
        </w:rPr>
        <w:t>针对车联网等新型网络安全问题，研发自主可控安全解决方案，研发创新应用车联网安全产品。</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lang w:eastAsia="zh-CN"/>
        </w:rPr>
        <w:t>大</w:t>
      </w:r>
      <w:r>
        <w:rPr>
          <w:rFonts w:hint="eastAsia" w:ascii="仿宋" w:hAnsi="仿宋" w:eastAsia="仿宋" w:cs="Times New Roman"/>
          <w:b/>
          <w:sz w:val="32"/>
        </w:rPr>
        <w:t>数据安全</w:t>
      </w:r>
      <w:r>
        <w:rPr>
          <w:rFonts w:hint="eastAsia" w:ascii="仿宋" w:hAnsi="仿宋" w:eastAsia="仿宋" w:cs="Times New Roman"/>
          <w:b/>
          <w:sz w:val="32"/>
          <w:lang w:eastAsia="zh-CN"/>
        </w:rPr>
        <w:t>工作组</w:t>
      </w:r>
    </w:p>
    <w:p>
      <w:pPr>
        <w:ind w:firstLine="640" w:firstLineChars="200"/>
        <w:rPr>
          <w:rFonts w:hint="eastAsia"/>
        </w:rPr>
      </w:pPr>
      <w:r>
        <w:rPr>
          <w:rFonts w:hint="eastAsia" w:ascii="仿宋" w:hAnsi="仿宋" w:eastAsia="仿宋" w:cs="Times New Roman"/>
          <w:sz w:val="32"/>
        </w:rPr>
        <w:t>重点研发数据防护产品，包括数据库加密网关、数据库加密服务器、大数据监管平台、数据安全合规性评估系统。</w:t>
      </w:r>
    </w:p>
    <w:p>
      <w:pPr>
        <w:pStyle w:val="6"/>
        <w:numPr>
          <w:ilvl w:val="0"/>
          <w:numId w:val="1"/>
        </w:numPr>
        <w:ind w:left="0" w:leftChars="0" w:firstLine="420" w:firstLineChars="0"/>
        <w:rPr>
          <w:rFonts w:hint="eastAsia" w:ascii="仿宋" w:hAnsi="仿宋" w:eastAsia="仿宋" w:cs="Times New Roman"/>
          <w:b/>
          <w:sz w:val="32"/>
        </w:rPr>
      </w:pPr>
      <w:r>
        <w:rPr>
          <w:rFonts w:hint="eastAsia" w:ascii="仿宋" w:hAnsi="仿宋" w:eastAsia="仿宋" w:cs="Times New Roman"/>
          <w:b/>
          <w:sz w:val="32"/>
        </w:rPr>
        <w:t>大数据人工智能分析</w:t>
      </w:r>
      <w:r>
        <w:rPr>
          <w:rFonts w:hint="eastAsia" w:ascii="仿宋" w:hAnsi="仿宋" w:eastAsia="仿宋" w:cs="Times New Roman"/>
          <w:b/>
          <w:sz w:val="32"/>
          <w:lang w:eastAsia="zh-CN"/>
        </w:rPr>
        <w:t>工作组</w:t>
      </w:r>
    </w:p>
    <w:p>
      <w:pPr>
        <w:ind w:firstLine="640" w:firstLineChars="200"/>
      </w:pPr>
      <w:r>
        <w:rPr>
          <w:rFonts w:hint="eastAsia" w:ascii="仿宋" w:hAnsi="仿宋" w:eastAsia="仿宋" w:cs="Times New Roman"/>
          <w:sz w:val="32"/>
        </w:rPr>
        <w:t>基于人工智能分析技术，面向网络安全等产业管理及服务需求，研究网络安全产业运行监测模型、大数据治理关键技术、分析模型算法，研发分析工具、数据产品及平台。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49195"/>
    <w:multiLevelType w:val="singleLevel"/>
    <w:tmpl w:val="7204919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8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spacing w:before="45" w:after="0" w:line="240" w:lineRule="auto"/>
      <w:ind w:left="115"/>
    </w:pPr>
    <w:rPr>
      <w:rFonts w:ascii="宋体" w:hAnsi="宋体" w:cs="Times New Roman"/>
      <w:sz w:val="30"/>
      <w:szCs w:val="30"/>
      <w:lang w:eastAsia="en-US"/>
    </w:r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2022-04-18T08:26:37Z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